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8D0E" w14:textId="77777777" w:rsidR="00DF3F71" w:rsidRDefault="00DF3F71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</w:p>
    <w:p w14:paraId="7AE2B5CF" w14:textId="004A40BF" w:rsidR="0003036C" w:rsidRDefault="00000000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RESUMO </w:t>
      </w:r>
      <w:r w:rsidR="00DF3F71">
        <w:rPr>
          <w:rFonts w:ascii="Cambria" w:eastAsia="Times New Roman" w:hAnsi="Cambria"/>
          <w:b/>
          <w:sz w:val="24"/>
          <w:szCs w:val="24"/>
        </w:rPr>
        <w:t>SIMPLES</w:t>
      </w:r>
    </w:p>
    <w:p w14:paraId="30790538" w14:textId="77777777" w:rsidR="00DF3F71" w:rsidRPr="00DF3F71" w:rsidRDefault="00DF3F71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</w:p>
    <w:p w14:paraId="6665B444" w14:textId="6FB81FD3" w:rsidR="0003036C" w:rsidRDefault="00000000">
      <w:pPr>
        <w:spacing w:line="240" w:lineRule="auto"/>
        <w:jc w:val="center"/>
        <w:textAlignment w:val="baseline"/>
        <w:outlineLvl w:val="1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ALTERAÇÕES LABORATORIAIS EM PACIENTES CANINOS COM LEUCEMIA – ESTUDO RETROSPECTIVO</w:t>
      </w:r>
    </w:p>
    <w:p w14:paraId="66C18E76" w14:textId="77777777" w:rsidR="0003036C" w:rsidRDefault="0003036C">
      <w:pPr>
        <w:spacing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</w:rPr>
      </w:pPr>
    </w:p>
    <w:p w14:paraId="7342B5D4" w14:textId="649E11B9" w:rsidR="0003036C" w:rsidRDefault="00000000">
      <w:pPr>
        <w:spacing w:line="240" w:lineRule="auto"/>
        <w:jc w:val="both"/>
        <w:textAlignment w:val="baseline"/>
        <w:rPr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A leucemia é uma desordem neoplásica de células tronco hematopoiéticas na medula óssea. Há diversas classificações desta doença, a depender das alterações no mielograma e hemograma. Entre 2009 e 2022, foram realizados 63 mielogramas de cães, </w:t>
      </w:r>
      <w:proofErr w:type="spellStart"/>
      <w:r w:rsidR="00DF3F71">
        <w:rPr>
          <w:rFonts w:asciiTheme="minorHAnsi" w:hAnsiTheme="minorHAnsi"/>
          <w:color w:val="000000"/>
          <w:sz w:val="24"/>
          <w:szCs w:val="24"/>
        </w:rPr>
        <w:t>xxxxxxx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>, dos quais 28</w:t>
      </w:r>
      <w:r w:rsidR="004758F0">
        <w:rPr>
          <w:rFonts w:asciiTheme="minorHAnsi" w:hAnsiTheme="minorHAnsi"/>
          <w:color w:val="000000"/>
          <w:sz w:val="24"/>
          <w:szCs w:val="24"/>
        </w:rPr>
        <w:t xml:space="preserve"> (44,45%)</w:t>
      </w:r>
      <w:r>
        <w:rPr>
          <w:rFonts w:asciiTheme="minorHAnsi" w:hAnsiTheme="minorHAnsi"/>
          <w:color w:val="000000"/>
          <w:sz w:val="24"/>
          <w:szCs w:val="24"/>
        </w:rPr>
        <w:t xml:space="preserve"> foram diagnosticados com leucemia. Destes animais, 18 receberam o diagnóstico leucemia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linfoblástica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aguda (LLA</w:t>
      </w:r>
      <w:r w:rsidR="004758F0">
        <w:rPr>
          <w:rFonts w:asciiTheme="minorHAnsi" w:hAnsiTheme="minorHAnsi"/>
          <w:color w:val="000000"/>
          <w:sz w:val="24"/>
          <w:szCs w:val="24"/>
        </w:rPr>
        <w:t>; 64,29%</w:t>
      </w:r>
      <w:r>
        <w:rPr>
          <w:rFonts w:asciiTheme="minorHAnsi" w:hAnsiTheme="minorHAnsi"/>
          <w:color w:val="000000"/>
          <w:sz w:val="24"/>
          <w:szCs w:val="24"/>
        </w:rPr>
        <w:t xml:space="preserve">), 5 de leucemia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linfocítica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crônica (LLC</w:t>
      </w:r>
      <w:r w:rsidR="004758F0">
        <w:rPr>
          <w:rFonts w:asciiTheme="minorHAnsi" w:hAnsiTheme="minorHAnsi"/>
          <w:color w:val="000000"/>
          <w:sz w:val="24"/>
          <w:szCs w:val="24"/>
        </w:rPr>
        <w:t>; 17,85%</w:t>
      </w:r>
      <w:r>
        <w:rPr>
          <w:rFonts w:asciiTheme="minorHAnsi" w:hAnsiTheme="minorHAnsi"/>
          <w:color w:val="000000"/>
          <w:sz w:val="24"/>
          <w:szCs w:val="24"/>
        </w:rPr>
        <w:t>), 2 de leucemia mieloide aguda (M2</w:t>
      </w:r>
      <w:r w:rsidR="004758F0">
        <w:rPr>
          <w:rFonts w:asciiTheme="minorHAnsi" w:hAnsiTheme="minorHAnsi"/>
          <w:color w:val="000000"/>
          <w:sz w:val="24"/>
          <w:szCs w:val="24"/>
        </w:rPr>
        <w:t>; 7,14%</w:t>
      </w:r>
      <w:r>
        <w:rPr>
          <w:rFonts w:asciiTheme="minorHAnsi" w:hAnsiTheme="minorHAnsi"/>
          <w:color w:val="000000"/>
          <w:sz w:val="24"/>
          <w:szCs w:val="24"/>
        </w:rPr>
        <w:t>) e, os demais, de leucemia aguda de origem desconhecida</w:t>
      </w:r>
      <w:r w:rsidR="004758F0">
        <w:rPr>
          <w:rFonts w:asciiTheme="minorHAnsi" w:hAnsiTheme="minorHAnsi"/>
          <w:color w:val="000000"/>
          <w:sz w:val="24"/>
          <w:szCs w:val="24"/>
        </w:rPr>
        <w:t xml:space="preserve"> (3,57%)</w:t>
      </w:r>
      <w:r>
        <w:rPr>
          <w:rFonts w:asciiTheme="minorHAnsi" w:hAnsiTheme="minorHAnsi"/>
          <w:color w:val="000000"/>
          <w:sz w:val="24"/>
          <w:szCs w:val="24"/>
        </w:rPr>
        <w:t xml:space="preserve">, leucemia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granulocítica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crônica</w:t>
      </w:r>
      <w:r w:rsidR="004758F0">
        <w:rPr>
          <w:rFonts w:asciiTheme="minorHAnsi" w:hAnsiTheme="minorHAnsi"/>
          <w:color w:val="000000"/>
          <w:sz w:val="24"/>
          <w:szCs w:val="24"/>
        </w:rPr>
        <w:t xml:space="preserve"> (3,57%)</w:t>
      </w:r>
      <w:r>
        <w:rPr>
          <w:rFonts w:asciiTheme="minorHAnsi" w:hAnsiTheme="minorHAnsi"/>
          <w:color w:val="000000"/>
          <w:sz w:val="24"/>
          <w:szCs w:val="24"/>
        </w:rPr>
        <w:t xml:space="preserve"> e leucemia aguda de origem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="004758F0">
        <w:rPr>
          <w:rFonts w:asciiTheme="minorHAnsi" w:hAnsiTheme="minorHAnsi"/>
          <w:color w:val="000000"/>
          <w:sz w:val="24"/>
          <w:szCs w:val="24"/>
        </w:rPr>
        <w:t xml:space="preserve"> (3,57%)</w:t>
      </w:r>
      <w:r>
        <w:rPr>
          <w:rFonts w:asciiTheme="minorHAnsi" w:hAnsiTheme="minorHAnsi"/>
          <w:color w:val="000000"/>
          <w:sz w:val="24"/>
          <w:szCs w:val="24"/>
        </w:rPr>
        <w:t xml:space="preserve">. Dos pacientes com LLA, 10 apresentavam corpúsculos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linfoglandulares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(55%) e 9, sombras de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Grumprecht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(50%) </w:t>
      </w:r>
      <w:r w:rsidR="004758F0">
        <w:rPr>
          <w:rFonts w:asciiTheme="minorHAnsi" w:hAnsiTheme="minorHAnsi"/>
          <w:color w:val="000000"/>
          <w:sz w:val="24"/>
          <w:szCs w:val="24"/>
        </w:rPr>
        <w:t>na análise da</w:t>
      </w:r>
      <w:r>
        <w:rPr>
          <w:rFonts w:asciiTheme="minorHAnsi" w:hAnsiTheme="minorHAnsi"/>
          <w:color w:val="000000"/>
          <w:sz w:val="24"/>
          <w:szCs w:val="24"/>
        </w:rPr>
        <w:t xml:space="preserve"> medula óssea. As hipoplasias mieloide e eritroide estavam presentes em 67% e 78% dos animais acometidos, respectivamente. Na circulação periférica, os principais achados foram anemia arregenerativa (61%), trombocitopenia (44%) e linfocitose com presença de linfócitos atípicos (33%). Os pacientes com LLC apresentavam hiperplasia mieloide em 100% dos casos, e hipoplasia eritroide em 40%. No hemograma, linfocitose estava presente em 100% dos casos, seguido por anemia (60%). Nos dois casos de leucemia mieloide aguda, havia hipoplasia eritroide com consequente anemia e em um deles, havia trombocitopenia. O animal diagnosticado com leucemia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granulocítica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crônica apresentava hipoplasia eritroide e megacariocítica, além de anemia, trombocitopenia e neutrofilia. No único caso de leucemia aguda de origem eritroide, foi relatado hipoplasia eritroide, megacariocítica e mieloide, além de anemia arregenerativa e trombocitopenia.</w:t>
      </w:r>
    </w:p>
    <w:p w14:paraId="6146859E" w14:textId="626668E8" w:rsidR="0003036C" w:rsidRDefault="00000000">
      <w:pPr>
        <w:spacing w:line="240" w:lineRule="auto"/>
        <w:jc w:val="both"/>
        <w:textAlignment w:val="baseline"/>
        <w:rPr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Palavras-chave: </w:t>
      </w:r>
      <w:r>
        <w:rPr>
          <w:rFonts w:asciiTheme="minorHAnsi" w:hAnsiTheme="minorHAnsi"/>
          <w:sz w:val="24"/>
          <w:szCs w:val="24"/>
        </w:rPr>
        <w:t xml:space="preserve">Mielograma, Citologia, </w:t>
      </w:r>
      <w:r w:rsidR="009E0EC1">
        <w:rPr>
          <w:rFonts w:asciiTheme="minorHAnsi" w:hAnsiTheme="minorHAnsi"/>
          <w:sz w:val="24"/>
          <w:szCs w:val="24"/>
        </w:rPr>
        <w:t>Cães</w:t>
      </w:r>
      <w:r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6980E51F" w14:textId="77777777" w:rsidR="0003036C" w:rsidRDefault="0003036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</w:rPr>
      </w:pPr>
    </w:p>
    <w:p w14:paraId="10E2D797" w14:textId="77777777" w:rsidR="0003036C" w:rsidRDefault="00000000">
      <w:pPr>
        <w:spacing w:line="240" w:lineRule="auto"/>
        <w:jc w:val="both"/>
        <w:textAlignment w:val="baseline"/>
        <w:rPr>
          <w:sz w:val="24"/>
          <w:szCs w:val="24"/>
        </w:rPr>
      </w:pPr>
      <w:proofErr w:type="spellStart"/>
      <w:r>
        <w:rPr>
          <w:rFonts w:asciiTheme="minorHAnsi" w:eastAsia="Times New Roman" w:hAnsiTheme="minorHAnsi"/>
          <w:sz w:val="24"/>
          <w:szCs w:val="24"/>
          <w:lang w:val="en-US"/>
        </w:rPr>
        <w:t>Área</w:t>
      </w:r>
      <w:proofErr w:type="spellEnd"/>
      <w:r>
        <w:rPr>
          <w:rFonts w:asciiTheme="minorHAnsi" w:eastAsia="Times New Roman" w:hAnsiTheme="minorHAnsi"/>
          <w:sz w:val="24"/>
          <w:szCs w:val="24"/>
          <w:lang w:val="en-US"/>
        </w:rPr>
        <w:t xml:space="preserve">: </w:t>
      </w:r>
      <w:proofErr w:type="spellStart"/>
      <w:r>
        <w:rPr>
          <w:rFonts w:asciiTheme="minorHAnsi" w:eastAsia="Times New Roman" w:hAnsiTheme="minorHAnsi"/>
          <w:sz w:val="24"/>
          <w:szCs w:val="24"/>
          <w:lang w:val="en-US"/>
        </w:rPr>
        <w:t>Hematologia</w:t>
      </w:r>
      <w:proofErr w:type="spellEnd"/>
      <w:r>
        <w:rPr>
          <w:rFonts w:asciiTheme="minorHAnsi" w:eastAsia="Times New Roman" w:hAnsiTheme="minorHAnsi"/>
          <w:sz w:val="24"/>
          <w:szCs w:val="24"/>
          <w:lang w:val="en-US"/>
        </w:rPr>
        <w:t>.</w:t>
      </w:r>
    </w:p>
    <w:p w14:paraId="697582F6" w14:textId="77777777" w:rsidR="0003036C" w:rsidRDefault="0003036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val="en-US"/>
        </w:rPr>
      </w:pPr>
    </w:p>
    <w:p w14:paraId="5C2DFFAA" w14:textId="77777777" w:rsidR="0003036C" w:rsidRDefault="00000000">
      <w:pPr>
        <w:spacing w:line="240" w:lineRule="auto"/>
        <w:jc w:val="both"/>
        <w:rPr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Short, N. J.,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Rytting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, M. E., &amp; Cortes, J. E. (2018). Acute myeloid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. The Lancet, 392(10147), 593–606. </w:t>
      </w:r>
    </w:p>
    <w:p w14:paraId="6BB616F7" w14:textId="77777777" w:rsidR="0003036C" w:rsidRDefault="00000000">
      <w:pPr>
        <w:spacing w:line="240" w:lineRule="auto"/>
        <w:jc w:val="both"/>
        <w:rPr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Calvert J. B-cell chronic lymphocytic leukemia in a miniature American Eskimo dog. Can Vet J. 2019 Dec;60(12):1353-1355. </w:t>
      </w:r>
    </w:p>
    <w:p w14:paraId="49B273CC" w14:textId="228496D4" w:rsidR="0003036C" w:rsidRDefault="00000000" w:rsidP="004758F0">
      <w:pPr>
        <w:spacing w:line="240" w:lineRule="auto"/>
        <w:jc w:val="both"/>
        <w:rPr>
          <w:rFonts w:asciiTheme="minorHAnsi" w:eastAsia="Cambria" w:hAnsiTheme="minorHAnsi" w:cs="Cambria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Davis LL, Hume KR,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Stokol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 T. A retrospective review of acute myeloid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 in 35 dogs diagnosed by a combination of morphologic findings, flow cytometric immunophenotyping and cytochemical staining results (2007-2015). Vet Comp Oncol. 2018 Jun;16(2):268-275.</w:t>
      </w:r>
    </w:p>
    <w:sectPr w:rsidR="0003036C">
      <w:headerReference w:type="default" r:id="rId7"/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DD59" w14:textId="77777777" w:rsidR="003F6AEF" w:rsidRDefault="003F6AEF" w:rsidP="00DF3F71">
      <w:pPr>
        <w:spacing w:line="240" w:lineRule="auto"/>
      </w:pPr>
      <w:r>
        <w:separator/>
      </w:r>
    </w:p>
  </w:endnote>
  <w:endnote w:type="continuationSeparator" w:id="0">
    <w:p w14:paraId="0882D8F8" w14:textId="77777777" w:rsidR="003F6AEF" w:rsidRDefault="003F6AEF" w:rsidP="00DF3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CF97" w14:textId="77777777" w:rsidR="003F6AEF" w:rsidRDefault="003F6AEF" w:rsidP="00DF3F71">
      <w:pPr>
        <w:spacing w:line="240" w:lineRule="auto"/>
      </w:pPr>
      <w:r>
        <w:separator/>
      </w:r>
    </w:p>
  </w:footnote>
  <w:footnote w:type="continuationSeparator" w:id="0">
    <w:p w14:paraId="41958C1A" w14:textId="77777777" w:rsidR="003F6AEF" w:rsidRDefault="003F6AEF" w:rsidP="00DF3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649A" w14:textId="4798C595" w:rsidR="00DF3F71" w:rsidRDefault="00DF3F71" w:rsidP="00DF3F71">
    <w:pPr>
      <w:pStyle w:val="Cabealh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 wp14:anchorId="4AE0CFAD" wp14:editId="1152089C">
          <wp:extent cx="2924175" cy="989721"/>
          <wp:effectExtent l="0" t="0" r="0" b="127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247" cy="102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6C"/>
    <w:rsid w:val="0003036C"/>
    <w:rsid w:val="00054C62"/>
    <w:rsid w:val="003F6AEF"/>
    <w:rsid w:val="004758F0"/>
    <w:rsid w:val="005141AC"/>
    <w:rsid w:val="009E0EC1"/>
    <w:rsid w:val="00D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8D6"/>
  <w15:docId w15:val="{B6CA7060-9432-4F32-AADB-6585A0E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D4"/>
    <w:pPr>
      <w:spacing w:line="276" w:lineRule="auto"/>
    </w:pPr>
    <w:rPr>
      <w:color w:val="00000A"/>
      <w:sz w:val="22"/>
    </w:rPr>
  </w:style>
  <w:style w:type="paragraph" w:styleId="Ttulo1">
    <w:name w:val="heading 1"/>
    <w:basedOn w:val="Ttulo10"/>
    <w:qFormat/>
    <w:rsid w:val="00F34A1C"/>
    <w:pPr>
      <w:widowControl w:val="0"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Ttulo10"/>
    <w:qFormat/>
    <w:rsid w:val="00F34A1C"/>
    <w:pPr>
      <w:widowControl w:val="0"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Ttulo10"/>
    <w:qFormat/>
    <w:rsid w:val="00F34A1C"/>
    <w:pPr>
      <w:widowControl w:val="0"/>
      <w:spacing w:before="320" w:after="80"/>
      <w:outlineLvl w:val="2"/>
    </w:pPr>
    <w:rPr>
      <w:color w:val="434343"/>
    </w:rPr>
  </w:style>
  <w:style w:type="paragraph" w:styleId="Ttulo4">
    <w:name w:val="heading 4"/>
    <w:basedOn w:val="Ttulo10"/>
    <w:qFormat/>
    <w:rsid w:val="00F34A1C"/>
    <w:pPr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Ttulo10"/>
    <w:qFormat/>
    <w:rsid w:val="00F34A1C"/>
    <w:pPr>
      <w:widowControl w:val="0"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Ttulo10"/>
    <w:qFormat/>
    <w:rsid w:val="00F34A1C"/>
    <w:pPr>
      <w:widowControl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1AF4"/>
    <w:rPr>
      <w:rFonts w:ascii="Segoe UI" w:hAnsi="Segoe UI" w:cs="Segoe UI"/>
      <w:color w:val="00000A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20664C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D119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486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D4868"/>
    <w:rPr>
      <w:rFonts w:asciiTheme="minorHAnsi" w:eastAsiaTheme="minorHAnsi" w:hAnsiTheme="minorHAnsi" w:cstheme="minorBidi"/>
      <w:szCs w:val="20"/>
      <w:lang w:eastAsia="en-US"/>
    </w:rPr>
  </w:style>
  <w:style w:type="character" w:styleId="nfase">
    <w:name w:val="Emphasis"/>
    <w:basedOn w:val="Fontepargpadro"/>
    <w:uiPriority w:val="20"/>
    <w:qFormat/>
    <w:rsid w:val="00914FE8"/>
    <w:rPr>
      <w:i/>
      <w:iCs/>
    </w:rPr>
  </w:style>
  <w:style w:type="character" w:customStyle="1" w:styleId="Ninguno">
    <w:name w:val="Ninguno"/>
    <w:qFormat/>
    <w:rsid w:val="000C3F5F"/>
    <w:rPr>
      <w:lang w:val="da-DK"/>
    </w:rPr>
  </w:style>
  <w:style w:type="character" w:customStyle="1" w:styleId="anchor-text">
    <w:name w:val="anchor-text"/>
    <w:basedOn w:val="Fontepargpadro"/>
    <w:qFormat/>
    <w:rsid w:val="003A4B9F"/>
  </w:style>
  <w:style w:type="character" w:customStyle="1" w:styleId="Nenhum">
    <w:name w:val="Nenhum"/>
    <w:qFormat/>
    <w:rsid w:val="00DE4150"/>
    <w:rPr>
      <w:lang w:val="da-DK"/>
    </w:rPr>
  </w:style>
  <w:style w:type="character" w:customStyle="1" w:styleId="article-title">
    <w:name w:val="article-title"/>
    <w:basedOn w:val="Fontepargpadro"/>
    <w:qFormat/>
    <w:rsid w:val="00827876"/>
  </w:style>
  <w:style w:type="character" w:customStyle="1" w:styleId="ws3">
    <w:name w:val="ws3"/>
    <w:basedOn w:val="Fontepargpadro"/>
    <w:qFormat/>
    <w:rsid w:val="00827876"/>
  </w:style>
  <w:style w:type="character" w:styleId="MenoPendente">
    <w:name w:val="Unresolved Mention"/>
    <w:basedOn w:val="Fontepargpadro"/>
    <w:uiPriority w:val="99"/>
    <w:semiHidden/>
    <w:unhideWhenUsed/>
    <w:qFormat/>
    <w:rsid w:val="00924CC2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A4BE2"/>
    <w:rPr>
      <w:rFonts w:asciiTheme="minorHAnsi" w:eastAsiaTheme="minorHAnsi" w:hAnsiTheme="minorHAnsi" w:cstheme="minorBidi"/>
      <w:b/>
      <w:bCs/>
      <w:color w:val="00000A"/>
      <w:szCs w:val="20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922443"/>
    <w:pPr>
      <w:spacing w:after="140" w:line="288" w:lineRule="auto"/>
    </w:pPr>
  </w:style>
  <w:style w:type="paragraph" w:styleId="Lista">
    <w:name w:val="List"/>
    <w:basedOn w:val="Corpodetexto"/>
    <w:rsid w:val="00922443"/>
  </w:style>
  <w:style w:type="paragraph" w:styleId="Legenda">
    <w:name w:val="caption"/>
    <w:basedOn w:val="Normal"/>
    <w:qFormat/>
    <w:rsid w:val="009224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22443"/>
    <w:pPr>
      <w:suppressLineNumbers/>
    </w:pPr>
  </w:style>
  <w:style w:type="paragraph" w:customStyle="1" w:styleId="Ttulo10">
    <w:name w:val="Título1"/>
    <w:basedOn w:val="LO-normal"/>
    <w:next w:val="Corpodetexto"/>
    <w:qFormat/>
    <w:rsid w:val="00F34A1C"/>
    <w:pPr>
      <w:keepNext/>
      <w:keepLines/>
      <w:spacing w:after="60"/>
    </w:pPr>
    <w:rPr>
      <w:sz w:val="52"/>
      <w:szCs w:val="52"/>
    </w:rPr>
  </w:style>
  <w:style w:type="paragraph" w:customStyle="1" w:styleId="LO-normal">
    <w:name w:val="LO-normal"/>
    <w:qFormat/>
    <w:rsid w:val="00F34A1C"/>
    <w:pPr>
      <w:spacing w:line="276" w:lineRule="auto"/>
    </w:pPr>
    <w:rPr>
      <w:color w:val="00000A"/>
      <w:sz w:val="22"/>
    </w:rPr>
  </w:style>
  <w:style w:type="paragraph" w:styleId="Subttulo">
    <w:name w:val="Subtitle"/>
    <w:basedOn w:val="LO-normal"/>
    <w:qFormat/>
    <w:rsid w:val="00F34A1C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1AF4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D4868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A84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qFormat/>
    <w:rsid w:val="00B72D47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rsid w:val="00A37FF8"/>
    <w:pPr>
      <w:spacing w:line="276" w:lineRule="auto"/>
    </w:pPr>
    <w:rPr>
      <w:sz w:val="22"/>
    </w:rPr>
  </w:style>
  <w:style w:type="paragraph" w:customStyle="1" w:styleId="Cuerpo">
    <w:name w:val="Cuerpo"/>
    <w:qFormat/>
    <w:rsid w:val="000C3F5F"/>
    <w:pP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lang w:val="da-DK"/>
    </w:rPr>
  </w:style>
  <w:style w:type="paragraph" w:customStyle="1" w:styleId="font8">
    <w:name w:val="font_8"/>
    <w:basedOn w:val="Normal"/>
    <w:qFormat/>
    <w:rsid w:val="00E16EC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rpo">
    <w:name w:val="Corpo"/>
    <w:qFormat/>
    <w:rsid w:val="00827876"/>
    <w:pP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lang w:val="da-DK"/>
    </w:rPr>
  </w:style>
  <w:style w:type="paragraph" w:styleId="NormalWeb">
    <w:name w:val="Normal (Web)"/>
    <w:basedOn w:val="Normal"/>
    <w:uiPriority w:val="99"/>
    <w:semiHidden/>
    <w:unhideWhenUsed/>
    <w:qFormat/>
    <w:rsid w:val="002C6CA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A4BE2"/>
    <w:pPr>
      <w:spacing w:after="0"/>
    </w:pPr>
    <w:rPr>
      <w:rFonts w:ascii="Arial" w:eastAsia="Arial" w:hAnsi="Arial" w:cs="Arial"/>
      <w:b/>
      <w:bCs/>
      <w:color w:val="00000A"/>
      <w:lang w:eastAsia="pt-BR"/>
    </w:rPr>
  </w:style>
  <w:style w:type="table" w:customStyle="1" w:styleId="TableNormal">
    <w:name w:val="Table Normal"/>
    <w:rsid w:val="00F34A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F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F71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DF3F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F7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2C95-A742-4FF6-B439-0202C470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Vieira</dc:creator>
  <dc:description/>
  <cp:lastModifiedBy>Paulo Marcusso</cp:lastModifiedBy>
  <cp:revision>5</cp:revision>
  <dcterms:created xsi:type="dcterms:W3CDTF">2022-10-03T17:53:00Z</dcterms:created>
  <dcterms:modified xsi:type="dcterms:W3CDTF">2023-07-06T21:08:00Z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